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5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2027 长三角四算融合产业发展大会暨算力设备采购交易会 招展书</w:t>
      </w:r>
    </w:p>
    <w:p w14:paraId="263D46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p>
    <w:p w14:paraId="4A11B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展会基础信息</w:t>
      </w:r>
    </w:p>
    <w:p w14:paraId="0850D2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展会全称：2027 长三角四算融合产业发展大会</w:t>
      </w:r>
    </w:p>
    <w:p w14:paraId="48EC1A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同期活动：算力设备采购交易会英文名称</w:t>
      </w:r>
    </w:p>
    <w:p w14:paraId="3EE1B7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时间：2027 年 3 月 11 日 - 13 日</w:t>
      </w:r>
    </w:p>
    <w:p w14:paraId="63762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地点：合肥滨湖国际会展中心</w:t>
      </w:r>
    </w:p>
    <w:p w14:paraId="34FD18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展会主题标语：智算共生･绿领未来</w:t>
      </w:r>
    </w:p>
    <w:p w14:paraId="0F7D0D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核心办展主题：四算协同筑算力底座，中部集采促产业共赢</w:t>
      </w:r>
    </w:p>
    <w:p w14:paraId="3F6859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展会介绍</w:t>
      </w:r>
    </w:p>
    <w:p w14:paraId="39F66B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算力已经成为数字经济时代的核心战略资源，伴随国家 “东数西算” 工程持续深化落地，新型算力基础设施、国产 AI 硬件、绿色液冷、量子计算相关产业迎来万亿级增量采购市场。中部六省制造业数字化转型提速，各地智算中心、IDC 机房持续新建扩容，叠加西部八大算力枢纽基建需求集中释放，但当前国内多数算力相关展会依附于综合 AI 博览会，中部地区始终缺少一场全产业链、以设备集采成交为核心的垂直专业算力交易展，庞大的供需对接缺口亟待填补。</w:t>
      </w:r>
    </w:p>
    <w:p w14:paraId="72EE30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2027 长三角四算融合产业发展大会暨算力设备采购交易会落地合肥滨湖国际会展中心，打造长三角东数西算中部唯一算力供需对接实体展会，为全国算力上下游企业搭建高效成交、长效拓客的专业平台。</w:t>
      </w:r>
    </w:p>
    <w:p w14:paraId="10214F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合肥核心产业优势</w:t>
      </w:r>
    </w:p>
    <w:p w14:paraId="5BD4B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合肥作为长三角国家算力枢纽核心承载城市，是全国唯一官方明确打造 “通算、智算、超算、量算” 一体化算力底座的城市，坐拥无可复制的完整算力产业生态，全市集聚 2200 余家算力全链条相关企业，形成天然的产业与采购底盘：</w:t>
      </w:r>
    </w:p>
    <w:p w14:paraId="27C6C38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通用算力</w:t>
      </w:r>
      <w:r>
        <w:rPr>
          <w:rFonts w:hint="eastAsia" w:ascii="方正仿宋_GB2312" w:hAnsi="方正仿宋_GB2312" w:eastAsia="方正仿宋_GB2312" w:cs="方正仿宋_GB2312"/>
          <w:color w:val="000000"/>
          <w:sz w:val="24"/>
          <w:szCs w:val="24"/>
        </w:rPr>
        <w:t>：三大运营商省级 IDC、政务云、企业私有算力集群全域覆盖，本地机房建设、网络传输、存储配套企业配套完善；</w:t>
      </w:r>
    </w:p>
    <w:p w14:paraId="324EFFD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智能算力</w:t>
      </w:r>
      <w:r>
        <w:rPr>
          <w:rFonts w:hint="eastAsia" w:ascii="方正仿宋_GB2312" w:hAnsi="方正仿宋_GB2312" w:eastAsia="方正仿宋_GB2312" w:cs="方正仿宋_GB2312"/>
          <w:color w:val="000000"/>
          <w:sz w:val="24"/>
          <w:szCs w:val="24"/>
        </w:rPr>
        <w:t>：依托中国声谷 1500 余家 AI 企业与巢湖明月万卡智算集群，集聚国产 AI 服务器、大模型研发、算力租赁全链条企业，工业视觉、自动驾驶仿真等场景持续释放大批量设备采购需求；</w:t>
      </w:r>
    </w:p>
    <w:p w14:paraId="0302911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超算</w:t>
      </w:r>
      <w:r>
        <w:rPr>
          <w:rFonts w:hint="eastAsia" w:ascii="方正仿宋_GB2312" w:hAnsi="方正仿宋_GB2312" w:eastAsia="方正仿宋_GB2312" w:cs="方正仿宋_GB2312"/>
          <w:color w:val="000000"/>
          <w:sz w:val="24"/>
          <w:szCs w:val="24"/>
        </w:rPr>
        <w:t>：合肥先进计算中心构建成熟高性能超算体系，面向航空、汽车、生物医药领域提供高精度工业仿真算力服务；</w:t>
      </w:r>
    </w:p>
    <w:p w14:paraId="52D9943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量子算力</w:t>
      </w:r>
      <w:r>
        <w:rPr>
          <w:rFonts w:hint="eastAsia" w:ascii="方正仿宋_GB2312" w:hAnsi="方正仿宋_GB2312" w:eastAsia="方正仿宋_GB2312" w:cs="方正仿宋_GB2312"/>
          <w:color w:val="000000"/>
          <w:sz w:val="24"/>
          <w:szCs w:val="24"/>
        </w:rPr>
        <w:t>：本源量子、国仪量子等头部企业构筑国内领先的量子算力赛道，形成独一份的量超融合特色产业优势；叠加长鑫存储、科大讯飞等本土龙头企业，完整覆盖 “芯、存、算、网、端、量子” 全产业链，本地政企、科研院所、产业园区自带稳定采购需求，为参展企业提供近距离对接本土优质采购方的绝佳机会。</w:t>
      </w:r>
    </w:p>
    <w:p w14:paraId="7377EC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市场辐射与采购规模</w:t>
      </w:r>
    </w:p>
    <w:p w14:paraId="528BA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立足中部地理中心，合肥辐射皖、苏、豫、鄂、湘、赣六省广阔市场，区域内蔚来、京东方等万亿级先进制造产业集群，持续产生工业 AI 算力、仿真算力、数据中心建设刚需。展会定向邀约省市数据与经信主管单位、各地智算中心、IDC 运营商、制造企业数字化采购负责人、西部八大算力园区招商团队、高校科研设备采购部门以及算力产业投资机构，预计汇聚</w:t>
      </w:r>
      <w:r>
        <w:rPr>
          <w:rStyle w:val="7"/>
          <w:rFonts w:hint="eastAsia" w:ascii="方正仿宋_GB2312" w:hAnsi="方正仿宋_GB2312" w:eastAsia="方正仿宋_GB2312" w:cs="方正仿宋_GB2312"/>
          <w:b/>
          <w:bCs/>
          <w:color w:val="000000"/>
          <w:kern w:val="0"/>
          <w:sz w:val="24"/>
          <w:szCs w:val="24"/>
          <w:lang w:val="en-US" w:eastAsia="zh-CN" w:bidi="ar"/>
        </w:rPr>
        <w:t>15000 人次以上精准专业采购观众</w:t>
      </w:r>
      <w:r>
        <w:rPr>
          <w:rFonts w:hint="eastAsia" w:ascii="方正仿宋_GB2312" w:hAnsi="方正仿宋_GB2312" w:eastAsia="方正仿宋_GB2312" w:cs="方正仿宋_GB2312"/>
          <w:color w:val="000000"/>
          <w:kern w:val="0"/>
          <w:sz w:val="24"/>
          <w:szCs w:val="24"/>
          <w:lang w:val="en-US" w:eastAsia="zh-CN" w:bidi="ar"/>
        </w:rPr>
        <w:t>，到场人群均具备直接采购、项目落地决策权。</w:t>
      </w:r>
    </w:p>
    <w:p w14:paraId="680E1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现场专属开设长三角制造企业算力专场采购对接会、东部厂商与西部算力园区闭门洽谈专场，官方组织跨区域算力协同集中签约仪式，展会目标落地意向签约项目超 120 项，累计意向采购金额突破 20 亿元。企业无需奔赴北上广深高额参展，即可一站式对接中部与西部批量采购订单，大幅降低异地拓客、商务拜访成本。</w:t>
      </w:r>
    </w:p>
    <w:p w14:paraId="5A26CC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展会长期规划</w:t>
      </w:r>
    </w:p>
    <w:p w14:paraId="539AD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本展会定位合肥年度常态化算力产业 IP，每年 3 月固定举办；2028 年展览规模将扩容至 30000 平方米。会后搭建线上常态化算力供需对接平台，一次参展即可长期沉淀全国政企、园区、制造企业采购资源，持续开拓中部核心算力市场。</w:t>
      </w:r>
    </w:p>
    <w:p w14:paraId="46B67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展会摒弃传统展会重展示、轻交易的短板，全程以设备集采、算力租赁签约、产业园区招商落地为核心导向，打通东部算力设备供给、中部制造算力需求、西部离线算力协同完整闭环。诚邀全国通用算力、AI 智算、超算、量子算力、绿色液冷及算力配套全产业链企业共聚合肥，抢抓东数西算中部集采红利，依托合肥独特产业区位与海量采购资源，携手抢占中部万亿算力市场新机遇。</w:t>
      </w:r>
    </w:p>
    <w:p w14:paraId="4ABCAF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展品范围</w:t>
      </w:r>
    </w:p>
    <w:p w14:paraId="633519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 AI 芯片与智算硬件核心</w:t>
      </w:r>
    </w:p>
    <w:p w14:paraId="54902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国产 AI 芯片、GPU/NPU/FPGA/DPU 加速卡、存算一体芯片、HBM 内存；AI 训练 / 推理服务器、高密度整机柜、万卡智算硬件集群、边缘算力节点；算力加速模组、高速互联背板、AI 整机配套硬件、国产算力主板。</w:t>
      </w:r>
    </w:p>
    <w:p w14:paraId="3DA0A5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 液冷温控机房节能散热</w:t>
      </w:r>
    </w:p>
    <w:p w14:paraId="5115A4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冷板式液冷、单相 / 两相浸没式液冷整机柜、CDU 冷却分配单元、冷却液介质；机房余热回收、间接蒸发冷却、智能精密空调、漏液监测系统；储能 UPS、高压直流供电、光伏微网、机房 PUE 节能改造整套方案。</w:t>
      </w:r>
    </w:p>
    <w:p w14:paraId="6450EC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 超级算力 (超算) 与工业仿真</w:t>
      </w:r>
    </w:p>
    <w:p w14:paraId="56A70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HPC 高性能计算集群、双精度超算硬件、并行计算互联设备；航空航天、整车制造、生物医药、能源高精度仿真软件；科研专用算力调度平台、超算存储、科研试验算力配套设备。</w:t>
      </w:r>
    </w:p>
    <w:p w14:paraId="6B0CF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 东西算力园区招商展示区</w:t>
      </w:r>
    </w:p>
    <w:p w14:paraId="146ED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合肥中国声谷、巢湖明月智算中心、高新区 / 经开区算力产业园载体政策；国家东数西算八大西部算力枢纽园区招商、算力机房落地优惠；算力园区规划、IDC 新建 / 扩容载体、算力产业土地厂房配套。</w:t>
      </w:r>
    </w:p>
    <w:p w14:paraId="7E3A64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 通用算力 (通算) 基础设施</w:t>
      </w:r>
    </w:p>
    <w:p w14:paraId="6941F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通用机架 / 刀片服务器、分布式存储、SSD 存储集群、备份灾备设备；政企私有云、混合云、运营商 IDC 整体建设方案、政务算力底座；高速交换机、400G/800G 光模块、算力传输光纤、机房网络布线；机房基础配套：智能机柜、精密配电柜、UPS、动环监控、机房消防安防。</w:t>
      </w:r>
    </w:p>
    <w:p w14:paraId="11F673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6. 大模型与工业 AI 应用</w:t>
      </w:r>
    </w:p>
    <w:p w14:paraId="2FE48A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通用 / 行业大模型训练推理平台、算力租赁调度系统、模型微调工具链；工业 AI 视觉检测设备、数据标注软硬件、数字孪生算力支撑平台；汽车、制造、医疗、金融、城市治理定制化 AI 算力解决方案。</w:t>
      </w:r>
    </w:p>
    <w:p w14:paraId="7A23A4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7. 量子算力 (量算)</w:t>
      </w:r>
    </w:p>
    <w:p w14:paraId="5499E9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通用量子计算机、量子芯片、量子测控仪器、量子比特操控硬件；量超融合调度平台、量子 + AI 加速算力解决方案；量子加密、量子通信、金融量子安全、隐私计算软硬件。</w:t>
      </w:r>
    </w:p>
    <w:p w14:paraId="0C52AC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8. 算力投融资与产业综合</w:t>
      </w:r>
    </w:p>
    <w:p w14:paraId="480414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算力产业股权投资基金、产业信贷、算力项目投融资对接；算力设备检测认证、数据中心工程设计、算力标准咨询服务；产学研成果转化平台、新品发布路演区、一对一采购签约洽谈区、行业媒体。</w:t>
      </w:r>
    </w:p>
    <w:p w14:paraId="5D0F9D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观众介绍</w:t>
      </w:r>
    </w:p>
    <w:p w14:paraId="532F0D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观众结构占比</w:t>
      </w:r>
    </w:p>
    <w:p w14:paraId="74C2325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政企 / 智算中心 / IDC 甲方采购决策观众：33%</w:t>
      </w:r>
    </w:p>
    <w:p w14:paraId="7A06E00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垂直行业 (车企、制造、金融、互联网) IT/AI 算力负责人：26%</w:t>
      </w:r>
    </w:p>
    <w:p w14:paraId="36C3E0E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系统集成商、EPC 总包、渠道代理商、算力运营服务商：19%</w:t>
      </w:r>
    </w:p>
    <w:p w14:paraId="5435EF2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产业资本、园区招商、政府主管单位、科研院校：13%</w:t>
      </w:r>
    </w:p>
    <w:p w14:paraId="2DC5092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媒体、散客、其他：9%</w:t>
      </w:r>
    </w:p>
    <w:p w14:paraId="3DE79F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观众市场分级（全国地图划分）</w:t>
      </w:r>
    </w:p>
    <w:p w14:paraId="32CB209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核心市场</w:t>
      </w:r>
      <w:r>
        <w:rPr>
          <w:rFonts w:hint="eastAsia" w:ascii="方正仿宋_GB2312" w:hAnsi="方正仿宋_GB2312" w:eastAsia="方正仿宋_GB2312" w:cs="方正仿宋_GB2312"/>
          <w:color w:val="000000"/>
          <w:sz w:val="24"/>
          <w:szCs w:val="24"/>
        </w:rPr>
        <w:t>：长三角核心省市</w:t>
      </w:r>
    </w:p>
    <w:p w14:paraId="04236E7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重点市场</w:t>
      </w:r>
      <w:r>
        <w:rPr>
          <w:rFonts w:hint="eastAsia" w:ascii="方正仿宋_GB2312" w:hAnsi="方正仿宋_GB2312" w:eastAsia="方正仿宋_GB2312" w:cs="方正仿宋_GB2312"/>
          <w:color w:val="000000"/>
          <w:sz w:val="24"/>
          <w:szCs w:val="24"/>
        </w:rPr>
        <w:t>：中部六省核心城市、西部算力枢纽</w:t>
      </w:r>
    </w:p>
    <w:p w14:paraId="422370B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成长市场</w:t>
      </w:r>
      <w:r>
        <w:rPr>
          <w:rFonts w:hint="eastAsia" w:ascii="方正仿宋_GB2312" w:hAnsi="方正仿宋_GB2312" w:eastAsia="方正仿宋_GB2312" w:cs="方正仿宋_GB2312"/>
          <w:color w:val="000000"/>
          <w:sz w:val="24"/>
          <w:szCs w:val="24"/>
        </w:rPr>
        <w:t>：华南沿海制造业大省</w:t>
      </w:r>
    </w:p>
    <w:p w14:paraId="6136974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孵化市场</w:t>
      </w:r>
      <w:r>
        <w:rPr>
          <w:rFonts w:hint="eastAsia" w:ascii="方正仿宋_GB2312" w:hAnsi="方正仿宋_GB2312" w:eastAsia="方正仿宋_GB2312" w:cs="方正仿宋_GB2312"/>
          <w:color w:val="000000"/>
          <w:sz w:val="24"/>
          <w:szCs w:val="24"/>
        </w:rPr>
        <w:t>：全国其余省市、北方、西南、西北全域</w:t>
      </w:r>
    </w:p>
    <w:p w14:paraId="573943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精准观众邀约渠道</w:t>
      </w:r>
    </w:p>
    <w:p w14:paraId="2E66455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政企定向走访邀约</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组委会安排专项招商团队，分华东、华北、华南、西南四大片区，上门对接各地大数据局、智算中心、头部车企、互联网大厂，发放专属 VIP 观展邀请函，登记年度采购计划。</w:t>
      </w:r>
    </w:p>
    <w:p w14:paraId="4F05891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行业协会联动组团</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联合 IDC 产业联盟、算力产业联盟、自动驾驶产业联盟、智能制造协会、金融科技协会组织大规模采购团到场，每团配备专属对接负责人。</w:t>
      </w:r>
    </w:p>
    <w:p w14:paraId="4B67D3C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采购闭门会精准撮合</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开设</w:t>
      </w:r>
      <w:r>
        <w:rPr>
          <w:rFonts w:hint="eastAsia" w:ascii="方正仿宋_GB2312" w:hAnsi="方正仿宋_GB2312" w:eastAsia="方正仿宋_GB2312" w:cs="方正仿宋_GB2312"/>
          <w:color w:val="000000"/>
          <w:sz w:val="24"/>
          <w:szCs w:val="24"/>
          <w:lang w:val="en-US" w:eastAsia="zh-CN"/>
        </w:rPr>
        <w:t>多</w:t>
      </w:r>
      <w:r>
        <w:rPr>
          <w:rFonts w:hint="eastAsia" w:ascii="方正仿宋_GB2312" w:hAnsi="方正仿宋_GB2312" w:eastAsia="方正仿宋_GB2312" w:cs="方正仿宋_GB2312"/>
          <w:color w:val="000000"/>
          <w:sz w:val="24"/>
          <w:szCs w:val="24"/>
        </w:rPr>
        <w:t>场政企采购闭门对接会，提前收集甲方采购清单，匹配对应展商，现场一对一封闭式洽谈，无无关人员干扰。</w:t>
      </w:r>
    </w:p>
    <w:p w14:paraId="222A364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数据库精准短信 / 电话邀约</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依托组委会 10 万 + 算力行业精准数据库，定向推送采购岗位人群，区分芯片、服务器、液冷、光通信、算力软件赛道精准触达。</w:t>
      </w:r>
    </w:p>
    <w:p w14:paraId="411A932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垂直媒体精准引流</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算力、IDC、半导体、自动驾驶、金融科技垂直媒体定向投放，定向触达技术负责人、采购负责人。</w:t>
      </w:r>
    </w:p>
    <w:p w14:paraId="7992793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展商互推联动</w:t>
      </w:r>
      <w:r>
        <w:rPr>
          <w:rStyle w:val="7"/>
          <w:rFonts w:hint="eastAsia" w:ascii="方正仿宋_GB2312" w:hAnsi="方正仿宋_GB2312" w:eastAsia="方正仿宋_GB2312" w:cs="方正仿宋_GB2312"/>
          <w:b/>
          <w:bCs/>
          <w:color w:val="000000"/>
          <w:sz w:val="24"/>
          <w:szCs w:val="24"/>
          <w:lang w:eastAsia="zh-CN"/>
        </w:rPr>
        <w:t>：</w:t>
      </w:r>
      <w:r>
        <w:rPr>
          <w:rFonts w:hint="eastAsia" w:ascii="方正仿宋_GB2312" w:hAnsi="方正仿宋_GB2312" w:eastAsia="方正仿宋_GB2312" w:cs="方正仿宋_GB2312"/>
          <w:color w:val="000000"/>
          <w:sz w:val="24"/>
          <w:szCs w:val="24"/>
        </w:rPr>
        <w:t>所有参展企业同步转发观众邀约海报，邀请自身上下游采购客户到场，双向扩大优质买家池。</w:t>
      </w:r>
    </w:p>
    <w:p w14:paraId="3D08F8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kern w:val="0"/>
          <w:sz w:val="24"/>
          <w:szCs w:val="24"/>
          <w:lang w:val="en-US" w:eastAsia="zh-CN" w:bidi="ar"/>
        </w:rPr>
        <w:t>配套服务：观众提前报备年度采购清单，组委会提前匹配对应参展企业，开展前推送供需匹配名单；专属渠道对接 Tier1/Tier2 头部企业，实现高效供需对接。</w:t>
      </w:r>
    </w:p>
    <w:p w14:paraId="76EB2D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观众组织核心优势</w:t>
      </w:r>
    </w:p>
    <w:p w14:paraId="22142056">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全球资源助力：共享德国、美国、日本、韩国、英国、法国、意大利等全球产业资源；</w:t>
      </w:r>
    </w:p>
    <w:p w14:paraId="6F2825C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val="en-US" w:eastAsia="zh-CN"/>
        </w:rPr>
        <w:t>30</w:t>
      </w:r>
      <w:r>
        <w:rPr>
          <w:rFonts w:hint="eastAsia" w:ascii="方正仿宋_GB2312" w:hAnsi="方正仿宋_GB2312" w:eastAsia="方正仿宋_GB2312" w:cs="方正仿宋_GB2312"/>
          <w:color w:val="000000"/>
          <w:sz w:val="24"/>
          <w:szCs w:val="24"/>
        </w:rPr>
        <w:t xml:space="preserve"> + 个专业买家团：联合国内外协会、行业机构、终端企业共同组织；</w:t>
      </w:r>
    </w:p>
    <w:p w14:paraId="3B7A12E0">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10000 + 全球专业买家数据库：覆盖 36 个国家和地区；</w:t>
      </w:r>
    </w:p>
    <w:p w14:paraId="097B8315">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6 大主题参观路线：精准匹配企业业务需求与采购意向；</w:t>
      </w:r>
    </w:p>
    <w:p w14:paraId="40CD0DE3">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携手</w:t>
      </w:r>
      <w:r>
        <w:rPr>
          <w:rFonts w:hint="eastAsia" w:ascii="方正仿宋_GB2312" w:hAnsi="方正仿宋_GB2312" w:eastAsia="方正仿宋_GB2312" w:cs="方正仿宋_GB2312"/>
          <w:color w:val="000000"/>
          <w:sz w:val="24"/>
          <w:szCs w:val="24"/>
          <w:lang w:val="en-US" w:eastAsia="zh-CN"/>
        </w:rPr>
        <w:t>多</w:t>
      </w:r>
      <w:r>
        <w:rPr>
          <w:rFonts w:hint="eastAsia" w:ascii="方正仿宋_GB2312" w:hAnsi="方正仿宋_GB2312" w:eastAsia="方正仿宋_GB2312" w:cs="方正仿宋_GB2312"/>
          <w:color w:val="000000"/>
          <w:sz w:val="24"/>
          <w:szCs w:val="24"/>
        </w:rPr>
        <w:t>家行业协会与合作单位，全方位组织专业观众。</w:t>
      </w:r>
    </w:p>
    <w:p w14:paraId="660D79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六、全渠道宣传赋能</w:t>
      </w:r>
    </w:p>
    <w:p w14:paraId="3D552D7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网络累计曝光量：57 万，覆盖短视频、新闻、产业平台；</w:t>
      </w:r>
    </w:p>
    <w:p w14:paraId="13884C1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线下触达：8 万通电话直呼、100 万条定向短信邀请；</w:t>
      </w:r>
    </w:p>
    <w:p w14:paraId="08704409">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邮件营销：40 期 EDM 邮件群发，直达 30 万全球行业用户；</w:t>
      </w:r>
    </w:p>
    <w:p w14:paraId="04E4D046">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媒体矩阵：合作 80 家行业 / 大众 / 产经媒体，覆盖算力、半导体、汽车、智能制造垂直赛道。</w:t>
      </w:r>
    </w:p>
    <w:p w14:paraId="1CB8E5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八、参展五大核心价值</w:t>
      </w:r>
    </w:p>
    <w:p w14:paraId="7E5E3971">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拿订单</w:t>
      </w:r>
      <w:r>
        <w:rPr>
          <w:rFonts w:hint="eastAsia" w:ascii="方正仿宋_GB2312" w:hAnsi="方正仿宋_GB2312" w:eastAsia="方正仿宋_GB2312" w:cs="方正仿宋_GB2312"/>
          <w:color w:val="000000"/>
          <w:sz w:val="24"/>
          <w:szCs w:val="24"/>
        </w:rPr>
        <w:t>：直面政企、智算中心、车企万亿级算力采购预算，闭门专场一对一精准洽谈签约；</w:t>
      </w:r>
    </w:p>
    <w:p w14:paraId="39C3C26F">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拓渠道</w:t>
      </w:r>
      <w:r>
        <w:rPr>
          <w:rFonts w:hint="eastAsia" w:ascii="方正仿宋_GB2312" w:hAnsi="方正仿宋_GB2312" w:eastAsia="方正仿宋_GB2312" w:cs="方正仿宋_GB2312"/>
          <w:color w:val="000000"/>
          <w:sz w:val="24"/>
          <w:szCs w:val="24"/>
        </w:rPr>
        <w:t>：覆盖全国上下游厂商、系统集成商、渠道代理商，一站式搭建全国分销网络；</w:t>
      </w:r>
    </w:p>
    <w:p w14:paraId="625BAC9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塑品牌</w:t>
      </w:r>
      <w:r>
        <w:rPr>
          <w:rFonts w:hint="eastAsia" w:ascii="方正仿宋_GB2312" w:hAnsi="方正仿宋_GB2312" w:eastAsia="方正仿宋_GB2312" w:cs="方正仿宋_GB2312"/>
          <w:color w:val="000000"/>
          <w:sz w:val="24"/>
          <w:szCs w:val="24"/>
        </w:rPr>
        <w:t>：峰会主题演讲、新品专场首发、全行业权威媒体报道，打造国产 / 绿色算力技术标杆形象；</w:t>
      </w:r>
    </w:p>
    <w:p w14:paraId="77E15F3C">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抓风口</w:t>
      </w:r>
      <w:r>
        <w:rPr>
          <w:rFonts w:hint="eastAsia" w:ascii="方正仿宋_GB2312" w:hAnsi="方正仿宋_GB2312" w:eastAsia="方正仿宋_GB2312" w:cs="方正仿宋_GB2312"/>
          <w:color w:val="000000"/>
          <w:sz w:val="24"/>
          <w:szCs w:val="24"/>
        </w:rPr>
        <w:t>：对接东数西算、十五五算力产业扶持政策，抢占国产替代、液冷、CPO 光互联万亿级新赛道市场；</w:t>
      </w:r>
    </w:p>
    <w:p w14:paraId="251EE10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方正仿宋_GB2312" w:hAnsi="方正仿宋_GB2312" w:eastAsia="方正仿宋_GB2312" w:cs="方正仿宋_GB2312"/>
          <w:color w:val="000000"/>
          <w:sz w:val="24"/>
          <w:szCs w:val="24"/>
        </w:rPr>
      </w:pPr>
      <w:r>
        <w:rPr>
          <w:rStyle w:val="7"/>
          <w:rFonts w:hint="eastAsia" w:ascii="方正仿宋_GB2312" w:hAnsi="方正仿宋_GB2312" w:eastAsia="方正仿宋_GB2312" w:cs="方正仿宋_GB2312"/>
          <w:b/>
          <w:bCs/>
          <w:color w:val="000000"/>
          <w:sz w:val="24"/>
          <w:szCs w:val="24"/>
        </w:rPr>
        <w:t>融资源</w:t>
      </w:r>
      <w:r>
        <w:rPr>
          <w:rFonts w:hint="eastAsia" w:ascii="方正仿宋_GB2312" w:hAnsi="方正仿宋_GB2312" w:eastAsia="方正仿宋_GB2312" w:cs="方正仿宋_GB2312"/>
          <w:color w:val="000000"/>
          <w:sz w:val="24"/>
          <w:szCs w:val="24"/>
        </w:rPr>
        <w:t>：对接各地政府算力园区、产业投资机构、全产业链上下游合作伙伴，落地长期产业协同项目。</w:t>
      </w:r>
    </w:p>
    <w:p w14:paraId="2BAAB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680" w:right="0" w:hanging="1680" w:hangingChars="700"/>
        <w:jc w:val="left"/>
        <w:rPr>
          <w:rFonts w:hint="eastAsia" w:ascii="宋体" w:hAnsi="宋体" w:eastAsia="宋体" w:cs="宋体"/>
          <w:color w:val="000000"/>
          <w:kern w:val="0"/>
          <w:sz w:val="24"/>
          <w:szCs w:val="24"/>
          <w:lang w:val="en-US" w:eastAsia="zh-CN" w:bidi="ar"/>
        </w:rPr>
      </w:pPr>
      <w:r>
        <w:rPr>
          <w:rFonts w:hint="eastAsia" w:ascii="方正仿宋_GB2312" w:hAnsi="方正仿宋_GB2312" w:eastAsia="方正仿宋_GB2312" w:cs="方正仿宋_GB2312"/>
          <w:color w:val="000000"/>
          <w:sz w:val="24"/>
          <w:szCs w:val="24"/>
        </w:rPr>
        <w:t>合作咨询联系方式</w:t>
      </w:r>
      <w:r>
        <w:rPr>
          <w:rFonts w:hint="eastAsia" w:ascii="方正仿宋_GB2312" w:hAnsi="方正仿宋_GB2312" w:eastAsia="方正仿宋_GB2312" w:cs="方正仿宋_GB2312"/>
          <w:color w:val="000000"/>
          <w:sz w:val="24"/>
          <w:szCs w:val="24"/>
          <w:lang w:eastAsia="zh-CN"/>
        </w:rPr>
        <w:t>：</w:t>
      </w:r>
      <w:r>
        <w:rPr>
          <w:rFonts w:hint="eastAsia" w:ascii="宋体" w:hAnsi="宋体" w:eastAsia="宋体" w:cs="宋体"/>
          <w:color w:val="000000"/>
          <w:kern w:val="0"/>
          <w:sz w:val="24"/>
          <w:szCs w:val="24"/>
          <w:lang w:val="en-US" w:eastAsia="zh-CN" w:bidi="ar"/>
        </w:rPr>
        <w:t>时先生</w:t>
      </w:r>
    </w:p>
    <w:p w14:paraId="07F04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1200" w:firstLineChars="500"/>
        <w:jc w:val="left"/>
        <w:rPr>
          <w:rFonts w:hint="default" w:ascii="宋体" w:hAnsi="宋体" w:eastAsia="宋体" w:cs="宋体"/>
          <w:color w:val="000000"/>
          <w:kern w:val="0"/>
          <w:sz w:val="24"/>
          <w:szCs w:val="24"/>
          <w:lang w:val="en-US" w:eastAsia="zh-CN" w:bidi="ar"/>
        </w:rPr>
      </w:pPr>
      <w:bookmarkStart w:id="0" w:name="_GoBack"/>
      <w:bookmarkEnd w:id="0"/>
      <w:r>
        <w:rPr>
          <w:rFonts w:hint="eastAsia" w:ascii="宋体" w:hAnsi="宋体" w:eastAsia="宋体" w:cs="宋体"/>
          <w:color w:val="000000"/>
          <w:kern w:val="0"/>
          <w:sz w:val="24"/>
          <w:szCs w:val="24"/>
          <w:lang w:val="en-US" w:eastAsia="zh-CN" w:bidi="ar"/>
        </w:rPr>
        <w:t>手机号：131 6273 2201（微信同步）</w:t>
      </w:r>
    </w:p>
    <w:p w14:paraId="2F77F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仿宋_GB2312" w:hAnsi="方正仿宋_GB2312" w:eastAsia="方正仿宋_GB2312" w:cs="方正仿宋_GB2312"/>
          <w:color w:val="000000"/>
          <w:sz w:val="24"/>
          <w:szCs w:val="24"/>
        </w:rPr>
      </w:pPr>
    </w:p>
    <w:p w14:paraId="23171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展会全称：2027 长三角四算融合产业发展大会</w:t>
      </w:r>
    </w:p>
    <w:p w14:paraId="38D2D6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2312" w:hAnsi="方正仿宋_GB2312" w:eastAsia="方正仿宋_GB2312" w:cs="方正仿宋_GB2312"/>
          <w:color w:val="000000"/>
          <w:kern w:val="0"/>
          <w:sz w:val="24"/>
          <w:szCs w:val="24"/>
          <w:lang w:val="en-US" w:eastAsia="zh-CN" w:bidi="ar"/>
        </w:rPr>
      </w:pPr>
      <w:r>
        <w:rPr>
          <w:rFonts w:hint="eastAsia" w:ascii="方正仿宋_GB2312" w:hAnsi="方正仿宋_GB2312" w:eastAsia="方正仿宋_GB2312" w:cs="方正仿宋_GB2312"/>
          <w:color w:val="000000"/>
          <w:kern w:val="0"/>
          <w:sz w:val="24"/>
          <w:szCs w:val="24"/>
          <w:lang w:val="en-US" w:eastAsia="zh-CN" w:bidi="ar"/>
        </w:rPr>
        <w:t>大会邮箱：</w:t>
      </w:r>
      <w:r>
        <w:rPr>
          <w:rFonts w:hint="eastAsia" w:ascii="方正仿宋_GB2312" w:hAnsi="方正仿宋_GB2312" w:eastAsia="方正仿宋_GB2312" w:cs="方正仿宋_GB2312"/>
          <w:color w:val="000000"/>
          <w:kern w:val="0"/>
          <w:sz w:val="24"/>
          <w:szCs w:val="24"/>
          <w:lang w:val="en-US" w:eastAsia="zh-CN" w:bidi="ar"/>
        </w:rPr>
        <w:fldChar w:fldCharType="begin"/>
      </w:r>
      <w:r>
        <w:rPr>
          <w:rFonts w:hint="eastAsia" w:ascii="方正仿宋_GB2312" w:hAnsi="方正仿宋_GB2312" w:eastAsia="方正仿宋_GB2312" w:cs="方正仿宋_GB2312"/>
          <w:color w:val="000000"/>
          <w:kern w:val="0"/>
          <w:sz w:val="24"/>
          <w:szCs w:val="24"/>
          <w:lang w:val="en-US" w:eastAsia="zh-CN" w:bidi="ar"/>
        </w:rPr>
        <w:instrText xml:space="preserve"> HYPERLINK "mailto:linjie_expo@sina.com" </w:instrText>
      </w:r>
      <w:r>
        <w:rPr>
          <w:rFonts w:hint="eastAsia" w:ascii="方正仿宋_GB2312" w:hAnsi="方正仿宋_GB2312" w:eastAsia="方正仿宋_GB2312" w:cs="方正仿宋_GB2312"/>
          <w:color w:val="000000"/>
          <w:kern w:val="0"/>
          <w:sz w:val="24"/>
          <w:szCs w:val="24"/>
          <w:lang w:val="en-US" w:eastAsia="zh-CN" w:bidi="ar"/>
        </w:rPr>
        <w:fldChar w:fldCharType="separate"/>
      </w:r>
      <w:r>
        <w:rPr>
          <w:rStyle w:val="8"/>
          <w:rFonts w:hint="eastAsia" w:ascii="方正仿宋_GB2312" w:hAnsi="方正仿宋_GB2312" w:eastAsia="方正仿宋_GB2312" w:cs="方正仿宋_GB2312"/>
          <w:kern w:val="0"/>
          <w:sz w:val="24"/>
          <w:szCs w:val="24"/>
          <w:lang w:val="en-US" w:eastAsia="zh-CN" w:bidi="ar"/>
        </w:rPr>
        <w:t>linjie_expo@sina.com</w:t>
      </w:r>
      <w:r>
        <w:rPr>
          <w:rFonts w:hint="eastAsia" w:ascii="方正仿宋_GB2312" w:hAnsi="方正仿宋_GB2312" w:eastAsia="方正仿宋_GB2312" w:cs="方正仿宋_GB2312"/>
          <w:color w:val="000000"/>
          <w:kern w:val="0"/>
          <w:sz w:val="24"/>
          <w:szCs w:val="24"/>
          <w:lang w:val="en-US" w:eastAsia="zh-CN" w:bidi="ar"/>
        </w:rPr>
        <w:fldChar w:fldCharType="end"/>
      </w:r>
    </w:p>
    <w:p w14:paraId="26D549C6">
      <w:pPr>
        <w:rPr>
          <w:rFonts w:hint="eastAsia" w:ascii="方正仿宋_GB2312" w:hAnsi="方正仿宋_GB2312" w:eastAsia="方正仿宋_GB2312" w:cs="方正仿宋_GB2312"/>
          <w:color w:val="000000" w:themeColor="text1"/>
          <w:spacing w:val="-2"/>
          <w:sz w:val="18"/>
          <w:szCs w:val="1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B01B3"/>
    <w:multiLevelType w:val="multilevel"/>
    <w:tmpl w:val="A4DB01B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C085B4C6"/>
    <w:multiLevelType w:val="multilevel"/>
    <w:tmpl w:val="C085B4C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B51E9C6"/>
    <w:multiLevelType w:val="multilevel"/>
    <w:tmpl w:val="EB51E9C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FBE83681"/>
    <w:multiLevelType w:val="multilevel"/>
    <w:tmpl w:val="FBE8368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1909B396"/>
    <w:multiLevelType w:val="multilevel"/>
    <w:tmpl w:val="1909B39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60B8EBC0"/>
    <w:multiLevelType w:val="multilevel"/>
    <w:tmpl w:val="60B8EBC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7EDA88DF"/>
    <w:multiLevelType w:val="multilevel"/>
    <w:tmpl w:val="7EDA88D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D2537"/>
    <w:rsid w:val="2E25492A"/>
    <w:rsid w:val="31A14D17"/>
    <w:rsid w:val="6DC90523"/>
    <w:rsid w:val="78203D19"/>
    <w:rsid w:val="7E945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Table Text"/>
    <w:basedOn w:val="1"/>
    <w:semiHidden/>
    <w:qFormat/>
    <w:uiPriority w:val="0"/>
    <w:rPr>
      <w:rFonts w:ascii="黑体" w:hAnsi="黑体" w:eastAsia="黑体" w:cs="黑体"/>
      <w:sz w:val="29"/>
      <w:szCs w:val="29"/>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3093</Words>
  <Characters>3237</Characters>
  <Lines>0</Lines>
  <Paragraphs>0</Paragraphs>
  <TotalTime>0</TotalTime>
  <ScaleCrop>false</ScaleCrop>
  <LinksUpToDate>false</LinksUpToDate>
  <CharactersWithSpaces>3363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2026-07-28T01:23:00Z</dcterms:created>
  <dc:creator>Administrator</dc:creator>
  <cp:lastModifiedBy>展会咨询时先生13262265032</cp:lastModifiedBy>
  <dcterms:modified xsi:type="dcterms:W3CDTF">2026-08-24T02:11:55Z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eyJoZGlkIjoiYzg0MGJiZmU3NWQ4MGViM2NlODFlMzczNWQxZDQzYWEiLCJ1c2VySWQiOiIxNzk5NDkwMjM3In0=</vt:lpwstr>
  </property>
  <property fmtid="{D5CDD505-2E9C-101B-9397-08002B2CF9AE}" pid="4" name="ICV">
    <vt:lpwstr>4FE52901376746D2897250B9211C2183_13</vt:lpwstr>
  </property>
</Properties>
</file>